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09E" w:rsidRDefault="00B6609E" w:rsidP="00B6609E">
      <w:pPr>
        <w:jc w:val="center"/>
        <w:rPr>
          <w:rFonts w:ascii="方正小标宋简体" w:eastAsia="方正小标宋简体" w:hAnsi="Times New Roman"/>
          <w:b w:val="0"/>
          <w:bCs/>
          <w:color w:val="000000" w:themeColor="text1"/>
          <w:spacing w:val="-2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Times New Roman" w:hint="eastAsia"/>
          <w:color w:val="000000" w:themeColor="text1"/>
          <w:kern w:val="0"/>
          <w:sz w:val="36"/>
          <w:szCs w:val="36"/>
        </w:rPr>
        <w:t>南充市农业科学院2022年度</w:t>
      </w:r>
      <w:r w:rsidR="00941448">
        <w:rPr>
          <w:rFonts w:ascii="方正小标宋简体" w:eastAsia="方正小标宋简体" w:hAnsi="Times New Roman" w:hint="eastAsia"/>
          <w:color w:val="000000" w:themeColor="text1"/>
          <w:kern w:val="0"/>
          <w:sz w:val="36"/>
          <w:szCs w:val="36"/>
        </w:rPr>
        <w:t>第二批</w:t>
      </w:r>
      <w:r>
        <w:rPr>
          <w:rFonts w:ascii="方正小标宋简体" w:eastAsia="方正小标宋简体" w:hAnsi="Times New Roman" w:hint="eastAsia"/>
          <w:color w:val="000000" w:themeColor="text1"/>
          <w:kern w:val="0"/>
          <w:sz w:val="36"/>
          <w:szCs w:val="36"/>
        </w:rPr>
        <w:t>招募科研助理岗位信息表</w:t>
      </w:r>
      <w:bookmarkEnd w:id="0"/>
    </w:p>
    <w:tbl>
      <w:tblPr>
        <w:tblW w:w="14982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680"/>
        <w:gridCol w:w="993"/>
        <w:gridCol w:w="1701"/>
        <w:gridCol w:w="1275"/>
        <w:gridCol w:w="1134"/>
        <w:gridCol w:w="2410"/>
        <w:gridCol w:w="992"/>
        <w:gridCol w:w="1678"/>
        <w:gridCol w:w="1984"/>
      </w:tblGrid>
      <w:tr w:rsidR="00B6609E" w:rsidTr="007603CB">
        <w:trPr>
          <w:trHeight w:hRule="exact" w:val="60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单位</w:t>
            </w:r>
          </w:p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南充市农业科学院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单位</w:t>
            </w:r>
          </w:p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事业单位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单位</w:t>
            </w:r>
          </w:p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网址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spacing w:val="-20"/>
                <w:kern w:val="0"/>
                <w:sz w:val="24"/>
              </w:rPr>
              <w:t>http://www.ncnky.com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邮政</w:t>
            </w: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br/>
            </w: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编码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637000</w:t>
            </w:r>
          </w:p>
        </w:tc>
      </w:tr>
      <w:tr w:rsidR="00B6609E" w:rsidTr="007603CB">
        <w:trPr>
          <w:trHeight w:hRule="exact" w:val="61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联系</w:t>
            </w:r>
          </w:p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何莉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联系</w:t>
            </w:r>
          </w:p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0817-</w:t>
            </w:r>
          </w:p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2802991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ncnkyrsk@163.com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通讯</w:t>
            </w:r>
          </w:p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地址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7603CB">
            <w:pPr>
              <w:widowControl/>
              <w:spacing w:line="280" w:lineRule="exact"/>
              <w:jc w:val="left"/>
              <w:rPr>
                <w:rFonts w:ascii="Times New Roman" w:eastAsia="方正仿宋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四川省南充市顺庆区北湖路农科巷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137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号</w:t>
            </w:r>
          </w:p>
        </w:tc>
      </w:tr>
      <w:tr w:rsidR="00B6609E" w:rsidTr="007603CB">
        <w:trPr>
          <w:trHeight w:hRule="exact" w:val="15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单位</w:t>
            </w:r>
          </w:p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简介</w:t>
            </w:r>
          </w:p>
        </w:tc>
        <w:tc>
          <w:tcPr>
            <w:tcW w:w="138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ind w:firstLineChars="200" w:firstLine="482"/>
              <w:jc w:val="left"/>
              <w:rPr>
                <w:rFonts w:ascii="Times New Roman" w:eastAsia="方正仿宋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南充市农业科学</w:t>
            </w:r>
            <w:proofErr w:type="gramStart"/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院创建</w:t>
            </w:r>
            <w:proofErr w:type="gramEnd"/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于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1950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年，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2010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年挂牌四川省农业科学院南充分院、中国农科院川东北农业科技成果转化中心，系全国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“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百强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农业科研机构、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“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十强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地市农科院所，现有</w:t>
            </w: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正高级职称</w:t>
            </w: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18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人、博士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人、硕士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45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人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,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先后有享受国家级政府特殊津贴专家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16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人。建有国家甘薯改良中心南充分中心</w:t>
            </w: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，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国家南方套作大豆育种基地</w:t>
            </w: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，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国家现代农业产业技术体系甘薯、花生、玉米、水稻、油菜、大豆、绿肥</w:t>
            </w: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、果树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综合试验站</w:t>
            </w: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，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农业部川渝薯类与大豆科学观测站</w:t>
            </w: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，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国家植物保护南充观测实验站等国家级科研平台。常年主持或承担国、省、市重大农业科研项目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60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余项。</w:t>
            </w:r>
          </w:p>
        </w:tc>
      </w:tr>
      <w:tr w:rsidR="00B6609E" w:rsidTr="007603CB">
        <w:trPr>
          <w:trHeight w:hRule="exact" w:val="348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引进岗位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7603CB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学历学位要求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其他要求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7603CB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需求人数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7603CB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  <w:t>引进方式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6609E" w:rsidRDefault="00B6609E" w:rsidP="006B6E40">
            <w:pPr>
              <w:widowControl/>
              <w:spacing w:line="280" w:lineRule="exact"/>
              <w:jc w:val="center"/>
              <w:rPr>
                <w:rFonts w:ascii="Times New Roman" w:eastAsia="方正黑体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 w:themeColor="text1"/>
                <w:kern w:val="0"/>
                <w:sz w:val="24"/>
              </w:rPr>
              <w:t>岗位联系人</w:t>
            </w:r>
          </w:p>
        </w:tc>
      </w:tr>
      <w:tr w:rsidR="004A264C" w:rsidTr="00941448">
        <w:trPr>
          <w:trHeight w:hRule="exact" w:val="381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A264C" w:rsidRDefault="004A264C" w:rsidP="006B6E40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b w:val="0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A264C" w:rsidRDefault="004A264C" w:rsidP="006B6E40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豆科作物</w:t>
            </w:r>
          </w:p>
          <w:p w:rsidR="004A264C" w:rsidRDefault="004A264C" w:rsidP="006B6E40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科研助理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A264C" w:rsidRDefault="004A264C" w:rsidP="007603CB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农学</w:t>
            </w:r>
          </w:p>
          <w:p w:rsidR="004A264C" w:rsidRDefault="004A264C" w:rsidP="007603CB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生物育种科学</w:t>
            </w:r>
          </w:p>
          <w:p w:rsidR="004A264C" w:rsidRDefault="004A264C" w:rsidP="007603CB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植物科学与技术</w:t>
            </w:r>
          </w:p>
          <w:p w:rsidR="004A264C" w:rsidRDefault="004A264C" w:rsidP="007603CB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种子科学与工程</w:t>
            </w:r>
          </w:p>
          <w:p w:rsidR="004A264C" w:rsidRDefault="004A264C" w:rsidP="007603CB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生物科学</w:t>
            </w:r>
          </w:p>
          <w:p w:rsidR="004A264C" w:rsidRDefault="004A264C" w:rsidP="007603CB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生物技术</w:t>
            </w:r>
          </w:p>
          <w:p w:rsidR="004A264C" w:rsidRDefault="004A264C" w:rsidP="007603CB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生物信息学</w:t>
            </w:r>
          </w:p>
          <w:p w:rsidR="004A264C" w:rsidRDefault="004A264C" w:rsidP="007603CB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生态学</w:t>
            </w:r>
          </w:p>
          <w:p w:rsidR="004A264C" w:rsidRDefault="004A264C" w:rsidP="007603CB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植物保护</w:t>
            </w:r>
          </w:p>
          <w:p w:rsidR="004A264C" w:rsidRDefault="004A264C" w:rsidP="007603CB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农业资源与环境</w:t>
            </w:r>
          </w:p>
          <w:p w:rsidR="004A264C" w:rsidRDefault="004A264C" w:rsidP="007603CB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水土保持与荒漠化防治</w:t>
            </w:r>
          </w:p>
          <w:p w:rsidR="004A264C" w:rsidRDefault="004A264C" w:rsidP="007603CB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土地资源管理</w:t>
            </w:r>
          </w:p>
          <w:p w:rsidR="004A264C" w:rsidRDefault="004A264C" w:rsidP="007603CB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生物质科学与工程</w:t>
            </w:r>
          </w:p>
          <w:p w:rsidR="004A264C" w:rsidRDefault="004A264C" w:rsidP="007603CB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土地科学与技术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A264C" w:rsidRDefault="004A264C" w:rsidP="007603CB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本科以上学历且取得相应学位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A264C" w:rsidRDefault="004A264C" w:rsidP="007603CB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应届毕业生；本科年龄不超过</w:t>
            </w: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30</w:t>
            </w: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周岁，硕士以上不超过</w:t>
            </w: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35</w:t>
            </w: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周岁。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A264C" w:rsidRDefault="004A264C" w:rsidP="007603CB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A264C" w:rsidRDefault="004A264C" w:rsidP="007603CB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编制外</w:t>
            </w:r>
          </w:p>
          <w:p w:rsidR="004A264C" w:rsidRDefault="004A264C" w:rsidP="007603CB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临时招聘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A264C" w:rsidRPr="00F807B6" w:rsidRDefault="004A264C" w:rsidP="007603CB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 w:rsidRPr="00F807B6"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漆老师</w:t>
            </w:r>
          </w:p>
          <w:p w:rsidR="004A264C" w:rsidRDefault="004A264C" w:rsidP="007603CB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 w:rsidRPr="00F807B6"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18381702748</w:t>
            </w:r>
          </w:p>
        </w:tc>
      </w:tr>
    </w:tbl>
    <w:p w:rsidR="00B6609E" w:rsidRDefault="00B6609E" w:rsidP="00941448">
      <w:pPr>
        <w:pStyle w:val="a7"/>
        <w:shd w:val="clear" w:color="auto" w:fill="FFFFFF"/>
        <w:spacing w:before="0" w:beforeAutospacing="0" w:after="0" w:afterAutospacing="0" w:line="600" w:lineRule="atLeast"/>
        <w:rPr>
          <w:rFonts w:ascii="黑体" w:eastAsia="黑体" w:hAnsi="黑体" w:hint="eastAsia"/>
          <w:color w:val="000000"/>
          <w:sz w:val="32"/>
          <w:szCs w:val="32"/>
        </w:rPr>
        <w:sectPr w:rsidR="00B6609E">
          <w:headerReference w:type="default" r:id="rId7"/>
          <w:footerReference w:type="even" r:id="rId8"/>
          <w:footerReference w:type="default" r:id="rId9"/>
          <w:pgSz w:w="16838" w:h="11906" w:orient="landscape"/>
          <w:pgMar w:top="1588" w:right="2098" w:bottom="1474" w:left="1985" w:header="851" w:footer="992" w:gutter="0"/>
          <w:cols w:space="720"/>
          <w:docGrid w:type="lines" w:linePitch="579" w:charSpace="-1105"/>
        </w:sectPr>
      </w:pPr>
    </w:p>
    <w:p w:rsidR="00B6609E" w:rsidRDefault="00B6609E" w:rsidP="00941448">
      <w:pPr>
        <w:pStyle w:val="a7"/>
        <w:shd w:val="clear" w:color="auto" w:fill="FFFFFF"/>
        <w:spacing w:before="0" w:beforeAutospacing="0" w:after="0" w:afterAutospacing="0" w:line="600" w:lineRule="atLeast"/>
        <w:rPr>
          <w:rFonts w:hint="eastAsia"/>
          <w:szCs w:val="32"/>
        </w:rPr>
      </w:pPr>
    </w:p>
    <w:sectPr w:rsidR="00B6609E" w:rsidSect="00941448">
      <w:pgSz w:w="16838" w:h="11906" w:orient="landscape"/>
      <w:pgMar w:top="1588" w:right="2098" w:bottom="1474" w:left="1985" w:header="851" w:footer="992" w:gutter="0"/>
      <w:cols w:space="720"/>
      <w:docGrid w:type="lines" w:linePitch="579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B19" w:rsidRDefault="00937B19">
      <w:r>
        <w:separator/>
      </w:r>
    </w:p>
  </w:endnote>
  <w:endnote w:type="continuationSeparator" w:id="0">
    <w:p w:rsidR="00937B19" w:rsidRDefault="0093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121" w:rsidRDefault="00B930CD" w:rsidP="00536D0A">
    <w:pPr>
      <w:pStyle w:val="a3"/>
      <w:ind w:leftChars="100" w:left="321"/>
      <w:rPr>
        <w:rFonts w:ascii="仿宋" w:eastAsia="仿宋" w:hAnsi="仿宋"/>
        <w:b w:val="0"/>
      </w:rPr>
    </w:pPr>
    <w:r>
      <w:rPr>
        <w:rFonts w:ascii="仿宋" w:eastAsia="仿宋" w:hAnsi="仿宋"/>
        <w:b w:val="0"/>
        <w:spacing w:val="80"/>
        <w:sz w:val="28"/>
      </w:rPr>
      <w:t>—</w:t>
    </w:r>
    <w:r>
      <w:rPr>
        <w:rFonts w:ascii="仿宋" w:eastAsia="仿宋" w:hAnsi="仿宋"/>
        <w:b w:val="0"/>
        <w:spacing w:val="80"/>
        <w:sz w:val="28"/>
      </w:rPr>
      <w:fldChar w:fldCharType="begin"/>
    </w:r>
    <w:r>
      <w:rPr>
        <w:rFonts w:ascii="仿宋" w:eastAsia="仿宋" w:hAnsi="仿宋"/>
        <w:b w:val="0"/>
        <w:spacing w:val="80"/>
        <w:sz w:val="28"/>
      </w:rPr>
      <w:instrText>PAGE   \* MERGEFORMAT</w:instrText>
    </w:r>
    <w:r>
      <w:rPr>
        <w:rFonts w:ascii="仿宋" w:eastAsia="仿宋" w:hAnsi="仿宋"/>
        <w:b w:val="0"/>
        <w:spacing w:val="80"/>
        <w:sz w:val="28"/>
      </w:rPr>
      <w:fldChar w:fldCharType="separate"/>
    </w:r>
    <w:r w:rsidRPr="006C6BFE">
      <w:rPr>
        <w:rFonts w:ascii="仿宋" w:eastAsia="仿宋" w:hAnsi="仿宋"/>
        <w:b w:val="0"/>
        <w:noProof/>
        <w:spacing w:val="80"/>
        <w:sz w:val="28"/>
        <w:lang w:val="zh-CN"/>
      </w:rPr>
      <w:t>8</w:t>
    </w:r>
    <w:r>
      <w:rPr>
        <w:rFonts w:ascii="仿宋" w:eastAsia="仿宋" w:hAnsi="仿宋"/>
        <w:b w:val="0"/>
        <w:spacing w:val="80"/>
        <w:sz w:val="28"/>
      </w:rPr>
      <w:fldChar w:fldCharType="end"/>
    </w:r>
    <w:r>
      <w:rPr>
        <w:rFonts w:ascii="仿宋" w:eastAsia="仿宋" w:hAnsi="仿宋"/>
        <w:b w:val="0"/>
        <w:spacing w:val="80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121" w:rsidRDefault="00B930CD" w:rsidP="00536D0A">
    <w:pPr>
      <w:pStyle w:val="a3"/>
      <w:ind w:rightChars="100" w:right="321"/>
      <w:jc w:val="right"/>
      <w:rPr>
        <w:rFonts w:ascii="仿宋" w:eastAsia="仿宋" w:hAnsi="仿宋"/>
        <w:b w:val="0"/>
      </w:rPr>
    </w:pPr>
    <w:r>
      <w:rPr>
        <w:rFonts w:ascii="仿宋" w:eastAsia="仿宋" w:hAnsi="仿宋"/>
        <w:b w:val="0"/>
        <w:spacing w:val="80"/>
        <w:sz w:val="28"/>
      </w:rPr>
      <w:t>—</w:t>
    </w:r>
    <w:r>
      <w:rPr>
        <w:rFonts w:ascii="仿宋" w:eastAsia="仿宋" w:hAnsi="仿宋"/>
        <w:b w:val="0"/>
        <w:spacing w:val="80"/>
        <w:sz w:val="28"/>
      </w:rPr>
      <w:fldChar w:fldCharType="begin"/>
    </w:r>
    <w:r>
      <w:rPr>
        <w:rFonts w:ascii="仿宋" w:eastAsia="仿宋" w:hAnsi="仿宋"/>
        <w:b w:val="0"/>
        <w:spacing w:val="80"/>
        <w:sz w:val="28"/>
      </w:rPr>
      <w:instrText>PAGE   \* MERGEFORMAT</w:instrText>
    </w:r>
    <w:r>
      <w:rPr>
        <w:rFonts w:ascii="仿宋" w:eastAsia="仿宋" w:hAnsi="仿宋"/>
        <w:b w:val="0"/>
        <w:spacing w:val="80"/>
        <w:sz w:val="28"/>
      </w:rPr>
      <w:fldChar w:fldCharType="separate"/>
    </w:r>
    <w:r w:rsidRPr="00B930CD">
      <w:rPr>
        <w:rFonts w:ascii="仿宋" w:eastAsia="仿宋" w:hAnsi="仿宋"/>
        <w:b w:val="0"/>
        <w:noProof/>
        <w:spacing w:val="80"/>
        <w:sz w:val="28"/>
        <w:lang w:val="zh-CN"/>
      </w:rPr>
      <w:t>5</w:t>
    </w:r>
    <w:r>
      <w:rPr>
        <w:rFonts w:ascii="仿宋" w:eastAsia="仿宋" w:hAnsi="仿宋"/>
        <w:b w:val="0"/>
        <w:spacing w:val="80"/>
        <w:sz w:val="28"/>
      </w:rPr>
      <w:fldChar w:fldCharType="end"/>
    </w:r>
    <w:r>
      <w:rPr>
        <w:rFonts w:ascii="仿宋" w:eastAsia="仿宋" w:hAnsi="仿宋"/>
        <w:b w:val="0"/>
        <w:spacing w:val="80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B19" w:rsidRDefault="00937B19">
      <w:r>
        <w:separator/>
      </w:r>
    </w:p>
  </w:footnote>
  <w:footnote w:type="continuationSeparator" w:id="0">
    <w:p w:rsidR="00937B19" w:rsidRDefault="00937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121" w:rsidRDefault="00937B1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9E"/>
    <w:rsid w:val="0027467B"/>
    <w:rsid w:val="0041170A"/>
    <w:rsid w:val="00413B46"/>
    <w:rsid w:val="004A264C"/>
    <w:rsid w:val="0051740C"/>
    <w:rsid w:val="00641370"/>
    <w:rsid w:val="00672C22"/>
    <w:rsid w:val="007603CB"/>
    <w:rsid w:val="008F52F1"/>
    <w:rsid w:val="00937B19"/>
    <w:rsid w:val="00941448"/>
    <w:rsid w:val="00B6609E"/>
    <w:rsid w:val="00B930CD"/>
    <w:rsid w:val="00ED30C9"/>
    <w:rsid w:val="00F3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609B"/>
  <w15:docId w15:val="{E9BEF21C-9DC4-47A3-85C1-2D224903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="Times New Roman"/>
        <w:b/>
        <w:bCs/>
        <w:color w:val="000000"/>
        <w:spacing w:val="-11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09E"/>
    <w:pPr>
      <w:widowControl w:val="0"/>
      <w:jc w:val="both"/>
    </w:pPr>
    <w:rPr>
      <w:rFonts w:ascii="Calibri" w:hAnsi="Calibri"/>
      <w:bCs w:val="0"/>
      <w:color w:val="auto"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66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B6609E"/>
    <w:rPr>
      <w:rFonts w:ascii="Calibri" w:hAnsi="Calibri"/>
      <w:bCs w:val="0"/>
      <w:color w:val="auto"/>
      <w:spacing w:val="0"/>
      <w:sz w:val="18"/>
      <w:szCs w:val="18"/>
    </w:rPr>
  </w:style>
  <w:style w:type="paragraph" w:styleId="a5">
    <w:name w:val="header"/>
    <w:basedOn w:val="a"/>
    <w:link w:val="a6"/>
    <w:qFormat/>
    <w:rsid w:val="00B66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B6609E"/>
    <w:rPr>
      <w:rFonts w:ascii="Calibri" w:hAnsi="Calibri"/>
      <w:bCs w:val="0"/>
      <w:color w:val="auto"/>
      <w:spacing w:val="0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660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kern w:val="0"/>
      <w:sz w:val="24"/>
    </w:rPr>
  </w:style>
  <w:style w:type="character" w:customStyle="1" w:styleId="a4">
    <w:name w:val="页脚 字符"/>
    <w:link w:val="a3"/>
    <w:uiPriority w:val="99"/>
    <w:qFormat/>
    <w:rsid w:val="00B6609E"/>
    <w:rPr>
      <w:rFonts w:ascii="Calibri" w:hAnsi="Calibri"/>
      <w:bCs w:val="0"/>
      <w:color w:val="auto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9750-C99C-4A11-B3B5-A5311983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科技科</cp:lastModifiedBy>
  <cp:revision>2</cp:revision>
  <dcterms:created xsi:type="dcterms:W3CDTF">2022-07-29T04:58:00Z</dcterms:created>
  <dcterms:modified xsi:type="dcterms:W3CDTF">2022-07-29T04:58:00Z</dcterms:modified>
</cp:coreProperties>
</file>